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AD" w:rsidRPr="00F77B14" w:rsidRDefault="004541B7" w:rsidP="00F77B14">
      <w:pPr>
        <w:tabs>
          <w:tab w:val="center" w:pos="720"/>
          <w:tab w:val="center" w:pos="1440"/>
          <w:tab w:val="center" w:pos="4102"/>
        </w:tabs>
        <w:spacing w:after="10" w:line="249" w:lineRule="auto"/>
        <w:ind w:left="-15" w:firstLine="0"/>
        <w:jc w:val="center"/>
        <w:rPr>
          <w:sz w:val="28"/>
        </w:rPr>
      </w:pPr>
      <w:r w:rsidRPr="00F77B14">
        <w:rPr>
          <w:b/>
          <w:sz w:val="28"/>
        </w:rPr>
        <w:t xml:space="preserve">Przedmiotowe Zasady Oceniania  z </w:t>
      </w:r>
      <w:r w:rsidR="00735593" w:rsidRPr="00F77B14">
        <w:rPr>
          <w:b/>
          <w:sz w:val="28"/>
        </w:rPr>
        <w:t>Informatyki</w:t>
      </w:r>
    </w:p>
    <w:p w:rsidR="002913AD" w:rsidRDefault="004541B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7B14" w:rsidRDefault="00F77B14" w:rsidP="00F77B14">
      <w:pPr>
        <w:rPr>
          <w:b/>
        </w:rPr>
      </w:pPr>
      <w:r w:rsidRPr="00F225EF">
        <w:rPr>
          <w:b/>
        </w:rPr>
        <w:t>Formy sprawdzania wiadomości i umiejętności</w:t>
      </w:r>
      <w:r>
        <w:rPr>
          <w:b/>
        </w:rPr>
        <w:t xml:space="preserve"> </w:t>
      </w:r>
      <w:r w:rsidRPr="00F225EF">
        <w:rPr>
          <w:b/>
        </w:rPr>
        <w:t>zgodne z ocenianiem wewnątrzszkolnym.</w:t>
      </w:r>
    </w:p>
    <w:p w:rsidR="00F77B14" w:rsidRDefault="00F77B14" w:rsidP="00F77B14">
      <w:pPr>
        <w:spacing w:after="0" w:line="259" w:lineRule="auto"/>
        <w:ind w:left="0" w:firstLine="0"/>
      </w:pPr>
    </w:p>
    <w:p w:rsidR="00F77B14" w:rsidRDefault="00F77B14" w:rsidP="00F77B14">
      <w:pPr>
        <w:spacing w:after="10" w:line="249" w:lineRule="auto"/>
        <w:ind w:left="-5" w:right="3396" w:firstLine="0"/>
      </w:pPr>
      <w:r>
        <w:rPr>
          <w:b/>
        </w:rPr>
        <w:t>Uzyskane punkty przeliczane są na stopnie wg następującej skali</w:t>
      </w:r>
      <w:r>
        <w:rPr>
          <w:b/>
        </w:rPr>
        <w:br/>
      </w:r>
      <w:r>
        <w:t xml:space="preserve">Przy wystawianiu ocen obowiązuje następująca skala ocen: </w:t>
      </w:r>
    </w:p>
    <w:p w:rsidR="00F77B14" w:rsidRDefault="00F77B14" w:rsidP="00F77B14">
      <w:pPr>
        <w:jc w:val="center"/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985"/>
      </w:tblGrid>
      <w:tr w:rsidR="00F77B14" w:rsidTr="00DE4CE0">
        <w:trPr>
          <w:trHeight w:val="279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Pr="00A84F36" w:rsidRDefault="00F77B14" w:rsidP="00DE4CE0">
            <w:pPr>
              <w:spacing w:before="100" w:beforeAutospacing="1" w:line="360" w:lineRule="auto"/>
              <w:jc w:val="center"/>
              <w:rPr>
                <w:b/>
              </w:rPr>
            </w:pPr>
            <w:r w:rsidRPr="00A84F36">
              <w:rPr>
                <w:b/>
              </w:rPr>
              <w:t>Ocena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Pr="00A84F36" w:rsidRDefault="00F77B14" w:rsidP="00DE4CE0">
            <w:pPr>
              <w:spacing w:before="100" w:beforeAutospacing="1" w:line="360" w:lineRule="auto"/>
              <w:jc w:val="center"/>
              <w:rPr>
                <w:b/>
              </w:rPr>
            </w:pPr>
            <w:r w:rsidRPr="00A84F36">
              <w:rPr>
                <w:b/>
              </w:rPr>
              <w:t>Procenty</w:t>
            </w:r>
          </w:p>
        </w:tc>
      </w:tr>
      <w:tr w:rsidR="00F77B14" w:rsidTr="00DE4CE0">
        <w:trPr>
          <w:trHeight w:val="279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4" w:rsidRDefault="00F77B14" w:rsidP="00DE4CE0">
            <w:pPr>
              <w:spacing w:before="100" w:beforeAutospacing="1" w:line="360" w:lineRule="auto"/>
            </w:pPr>
            <w:r>
              <w:t>celujący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4" w:rsidRDefault="00F77B14" w:rsidP="00DE4CE0">
            <w:pPr>
              <w:spacing w:before="100" w:beforeAutospacing="1" w:line="360" w:lineRule="auto"/>
            </w:pPr>
            <w:r>
              <w:t>100% </w:t>
            </w:r>
          </w:p>
        </w:tc>
      </w:tr>
      <w:tr w:rsidR="00F77B14" w:rsidTr="00DE4CE0">
        <w:trPr>
          <w:jc w:val="center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bardzo dobry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91 – 99,99% </w:t>
            </w:r>
          </w:p>
        </w:tc>
      </w:tr>
      <w:tr w:rsidR="00F77B14" w:rsidTr="00DE4CE0">
        <w:trPr>
          <w:jc w:val="center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dobry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75 – 90,99%  </w:t>
            </w:r>
          </w:p>
        </w:tc>
      </w:tr>
      <w:tr w:rsidR="00F77B14" w:rsidTr="00DE4CE0">
        <w:trPr>
          <w:jc w:val="center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dostateczny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55 – 74,99%  </w:t>
            </w:r>
          </w:p>
        </w:tc>
      </w:tr>
      <w:tr w:rsidR="00F77B14" w:rsidTr="00DE4CE0">
        <w:trPr>
          <w:jc w:val="center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dopuszczający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40 – 54,99%  </w:t>
            </w:r>
          </w:p>
        </w:tc>
      </w:tr>
      <w:tr w:rsidR="00F77B14" w:rsidTr="00DE4CE0">
        <w:trPr>
          <w:jc w:val="center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niedostateczny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0 – 39,99 </w:t>
            </w:r>
          </w:p>
        </w:tc>
      </w:tr>
    </w:tbl>
    <w:p w:rsidR="00F77B14" w:rsidRDefault="00F77B14" w:rsidP="00F77B14">
      <w:pPr>
        <w:spacing w:before="100" w:beforeAutospacing="1"/>
      </w:pPr>
      <w:r>
        <w:t> Zależność oceny semestralnej i rocznej od średniej ważonej pokazuje tabela:</w:t>
      </w:r>
    </w:p>
    <w:p w:rsidR="00F77B14" w:rsidRDefault="00F77B14" w:rsidP="00F77B14">
      <w:pPr>
        <w:spacing w:before="100" w:beforeAutospacing="1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3118"/>
      </w:tblGrid>
      <w:tr w:rsidR="00F77B14" w:rsidTr="00DE4CE0">
        <w:trPr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  <w:jc w:val="center"/>
            </w:pPr>
            <w:r>
              <w:rPr>
                <w:b/>
                <w:bCs/>
              </w:rPr>
              <w:t>Średnia ważona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  <w:jc w:val="center"/>
            </w:pPr>
            <w:r>
              <w:rPr>
                <w:b/>
                <w:bCs/>
              </w:rPr>
              <w:t>Ocena semestralna/roczna</w:t>
            </w:r>
          </w:p>
        </w:tc>
      </w:tr>
      <w:tr w:rsidR="00F77B14" w:rsidTr="00DE4CE0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0- 1,80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niedostateczny</w:t>
            </w:r>
          </w:p>
        </w:tc>
      </w:tr>
      <w:tr w:rsidR="00F77B14" w:rsidTr="00DE4CE0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1,81- 2,80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dopuszczający</w:t>
            </w:r>
          </w:p>
        </w:tc>
      </w:tr>
      <w:tr w:rsidR="00F77B14" w:rsidTr="00DE4CE0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2,81- 3,80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dostateczny</w:t>
            </w:r>
          </w:p>
        </w:tc>
      </w:tr>
      <w:tr w:rsidR="00F77B14" w:rsidTr="00DE4CE0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3,81 - 4,70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dobry</w:t>
            </w:r>
          </w:p>
        </w:tc>
      </w:tr>
      <w:tr w:rsidR="00F77B14" w:rsidTr="00DE4CE0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4,71 - 5,20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bardzo dobry</w:t>
            </w:r>
          </w:p>
        </w:tc>
      </w:tr>
      <w:tr w:rsidR="00F77B14" w:rsidTr="00DE4CE0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Średnia powyżej 5,20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14" w:rsidRDefault="00F77B14" w:rsidP="00DE4CE0">
            <w:pPr>
              <w:spacing w:before="100" w:beforeAutospacing="1" w:line="360" w:lineRule="auto"/>
            </w:pPr>
            <w:r>
              <w:t>celujący</w:t>
            </w:r>
          </w:p>
        </w:tc>
      </w:tr>
    </w:tbl>
    <w:p w:rsidR="00F77B14" w:rsidRDefault="00F77B14" w:rsidP="00F77B14">
      <w:pPr>
        <w:jc w:val="center"/>
        <w:rPr>
          <w:b/>
        </w:rPr>
      </w:pPr>
    </w:p>
    <w:p w:rsidR="00F77B14" w:rsidRDefault="00F77B14" w:rsidP="00F77B14">
      <w:pPr>
        <w:pStyle w:val="Standard"/>
        <w:widowControl/>
        <w:jc w:val="both"/>
        <w:rPr>
          <w:color w:val="222222"/>
        </w:rPr>
      </w:pPr>
      <w:r>
        <w:rPr>
          <w:color w:val="222222"/>
        </w:rPr>
        <w:t>O ocenie śródrocznej i rocznej decyduje hierarchia ważności ocen oraz terminowe wywiązywanie się uczniów z wykonywania wymaganych prac w półroczu. Dopuszcza się następujący system wagowy ocen: </w:t>
      </w:r>
    </w:p>
    <w:p w:rsidR="00F77B14" w:rsidRDefault="00F77B14" w:rsidP="00F77B14">
      <w:pPr>
        <w:pStyle w:val="Standard"/>
        <w:widowControl/>
        <w:rPr>
          <w:color w:val="222222"/>
        </w:rPr>
      </w:pPr>
      <w:r>
        <w:rPr>
          <w:color w:val="222222"/>
        </w:rPr>
        <w:t>   </w:t>
      </w:r>
    </w:p>
    <w:tbl>
      <w:tblPr>
        <w:tblW w:w="5277" w:type="dxa"/>
        <w:tblInd w:w="1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1909"/>
      </w:tblGrid>
      <w:tr w:rsidR="00F77B14" w:rsidTr="00DE4CE0">
        <w:tc>
          <w:tcPr>
            <w:tcW w:w="3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Forma oceniania 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 Waga </w:t>
            </w:r>
          </w:p>
        </w:tc>
      </w:tr>
      <w:tr w:rsidR="00F77B14" w:rsidTr="00DE4CE0"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>Praca klasowa/sprawdzian/test 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TableContents"/>
              <w:jc w:val="center"/>
            </w:pPr>
            <w:r>
              <w:t>6</w:t>
            </w:r>
          </w:p>
        </w:tc>
      </w:tr>
      <w:tr w:rsidR="00F77B14" w:rsidTr="00DE4CE0"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>Klasówka/kartkówka     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TableContents"/>
              <w:jc w:val="center"/>
            </w:pPr>
            <w:r>
              <w:t>4</w:t>
            </w:r>
          </w:p>
        </w:tc>
      </w:tr>
      <w:tr w:rsidR="00F77B14" w:rsidTr="00DE4CE0"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F77B14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>odpowiedź ustna 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F77B14">
            <w:pPr>
              <w:pStyle w:val="TableContents"/>
              <w:jc w:val="center"/>
            </w:pPr>
            <w:r>
              <w:t>3</w:t>
            </w:r>
          </w:p>
        </w:tc>
      </w:tr>
      <w:tr w:rsidR="00F77B14" w:rsidTr="00DE4CE0"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>aktywność   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TableContents"/>
              <w:jc w:val="center"/>
            </w:pPr>
            <w:r>
              <w:t>2</w:t>
            </w:r>
          </w:p>
        </w:tc>
      </w:tr>
      <w:tr w:rsidR="00F77B14" w:rsidTr="00DE4CE0"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> praca domowa   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TableContents"/>
              <w:jc w:val="center"/>
            </w:pPr>
            <w:r>
              <w:t>1</w:t>
            </w:r>
          </w:p>
        </w:tc>
      </w:tr>
      <w:tr w:rsidR="00F77B14" w:rsidTr="00DE4CE0"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>inne formy zaliczenia materiału 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14" w:rsidRDefault="00F77B14" w:rsidP="00DE4CE0">
            <w:pPr>
              <w:pStyle w:val="Standard"/>
              <w:widowControl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 2 </w:t>
            </w:r>
          </w:p>
        </w:tc>
      </w:tr>
    </w:tbl>
    <w:p w:rsidR="00F77B14" w:rsidRPr="00F225EF" w:rsidRDefault="00F77B14" w:rsidP="00F77B14">
      <w:pPr>
        <w:jc w:val="center"/>
        <w:rPr>
          <w:b/>
        </w:rPr>
      </w:pPr>
    </w:p>
    <w:p w:rsidR="00F77B14" w:rsidRPr="00F77B14" w:rsidRDefault="00F77B14" w:rsidP="00F77B14"/>
    <w:p w:rsidR="002913AD" w:rsidRDefault="004541B7">
      <w:pPr>
        <w:spacing w:after="0" w:line="259" w:lineRule="auto"/>
        <w:ind w:left="200" w:firstLine="0"/>
      </w:pPr>
      <w:r>
        <w:t xml:space="preserve"> </w:t>
      </w:r>
    </w:p>
    <w:p w:rsidR="002913AD" w:rsidRDefault="004541B7">
      <w:pPr>
        <w:tabs>
          <w:tab w:val="center" w:pos="8103"/>
        </w:tabs>
        <w:spacing w:after="0" w:line="259" w:lineRule="auto"/>
        <w:ind w:left="0" w:firstLine="0"/>
      </w:pPr>
      <w:r>
        <w:lastRenderedPageBreak/>
        <w:t xml:space="preserve">  </w:t>
      </w:r>
      <w:r>
        <w:tab/>
      </w: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12700" cy="12065"/>
                <wp:effectExtent l="0" t="0" r="0" b="0"/>
                <wp:docPr id="5665" name="Grupa 5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2065"/>
                          <a:chOff x="5339650" y="3773950"/>
                          <a:chExt cx="12700" cy="121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5339650" y="3773968"/>
                            <a:ext cx="12700" cy="12065"/>
                            <a:chOff x="0" y="0"/>
                            <a:chExt cx="12700" cy="12065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0" y="0"/>
                              <a:ext cx="127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13AD" w:rsidRDefault="002913AD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Dowolny kształt 3"/>
                          <wps:cNvSpPr/>
                          <wps:spPr>
                            <a:xfrm>
                              <a:off x="0" y="0"/>
                              <a:ext cx="12700" cy="120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12065" extrusionOk="0">
                                  <a:moveTo>
                                    <a:pt x="0" y="0"/>
                                  </a:moveTo>
                                  <a:lnTo>
                                    <a:pt x="12700" y="0"/>
                                  </a:lnTo>
                                  <a:lnTo>
                                    <a:pt x="12700" y="12065"/>
                                  </a:lnTo>
                                  <a:lnTo>
                                    <a:pt x="0" y="1206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5665" o:spid="_x0000_s1026" style="width:1pt;height:.95pt;mso-position-horizontal-relative:char;mso-position-vertical-relative:line" coordorigin="53396,37739" coordsize="1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">
                <v:group id="Grupa 1" o:spid="_x0000_s1027" style="position:absolute;left:53396;top:37739;width:127;height:121" coordsize="127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width:12700;height:12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13AD" w:rsidRDefault="002913AD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Dowolny kształt 3" o:spid="_x0000_s1029" style="position:absolute;width:12700;height:12065;visibility:visible;mso-wrap-style:square;v-text-anchor:middle" coordsize="127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" path="m,l12700,r,12065l,12065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2913AD" w:rsidRDefault="004541B7">
      <w:pPr>
        <w:spacing w:line="259" w:lineRule="auto"/>
        <w:ind w:left="0" w:firstLine="0"/>
      </w:pPr>
      <w:r>
        <w:t xml:space="preserve"> </w:t>
      </w:r>
    </w:p>
    <w:p w:rsidR="002913AD" w:rsidRPr="00F77B14" w:rsidRDefault="004541B7" w:rsidP="00F77B1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Skala ocen jest sześciostopniowa  </w:t>
      </w:r>
    </w:p>
    <w:p w:rsidR="002913AD" w:rsidRPr="00F77B14" w:rsidRDefault="004541B7" w:rsidP="00F77B1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Oceny cząstkowe mogą być wystawiane ze znakami: " + " i " - ". </w:t>
      </w:r>
    </w:p>
    <w:p w:rsidR="002913AD" w:rsidRPr="00F77B14" w:rsidRDefault="004541B7" w:rsidP="00F77B1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Uczeń nieobecny  musi uzupełnić prace wykonywane na lekcji. </w:t>
      </w:r>
    </w:p>
    <w:p w:rsidR="00F77B14" w:rsidRPr="00F77B14" w:rsidRDefault="00F77B14" w:rsidP="00F77B14">
      <w:pPr>
        <w:pStyle w:val="Standard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color w:val="222222"/>
        </w:rPr>
      </w:pPr>
      <w:r w:rsidRPr="00F77B14">
        <w:rPr>
          <w:rFonts w:asciiTheme="minorHAnsi" w:hAnsiTheme="minorHAnsi" w:cstheme="minorHAnsi"/>
          <w:color w:val="222222"/>
        </w:rPr>
        <w:t>Oceny na zakończenie półrocza lub roku szkolnego nie są średnią arytmetyczną ocen cząstkowych; średnia ta może być jedynie sugestią dla nauczyciela. Ocena roczna może stanowić średnią arytmetyczną ocen na pierwsze i drugie półrocze pod warunkiem, że uczeń na koniec każdego półrocza otrzymał ocenę minimum dopuszczającą.</w:t>
      </w:r>
    </w:p>
    <w:p w:rsidR="00F77B14" w:rsidRPr="00F77B14" w:rsidRDefault="00F77B14" w:rsidP="00F77B14">
      <w:pPr>
        <w:pStyle w:val="Standard"/>
        <w:widowControl/>
        <w:numPr>
          <w:ilvl w:val="0"/>
          <w:numId w:val="1"/>
        </w:numPr>
        <w:rPr>
          <w:rFonts w:asciiTheme="minorHAnsi" w:hAnsiTheme="minorHAnsi" w:cstheme="minorHAnsi"/>
          <w:color w:val="222222"/>
        </w:rPr>
      </w:pPr>
      <w:r w:rsidRPr="00F77B14">
        <w:rPr>
          <w:rFonts w:asciiTheme="minorHAnsi" w:hAnsiTheme="minorHAnsi" w:cstheme="minorHAnsi"/>
          <w:color w:val="222222"/>
        </w:rPr>
        <w:t>Uczeń ma prawo poprawić każdą ocenę.</w:t>
      </w:r>
    </w:p>
    <w:p w:rsidR="00F77B14" w:rsidRPr="00F77B14" w:rsidRDefault="00F77B14" w:rsidP="00F77B14">
      <w:pPr>
        <w:pStyle w:val="Standard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color w:val="222222"/>
        </w:rPr>
      </w:pPr>
      <w:r w:rsidRPr="00F77B14">
        <w:rPr>
          <w:rFonts w:asciiTheme="minorHAnsi" w:hAnsiTheme="minorHAnsi" w:cstheme="minorHAnsi"/>
          <w:color w:val="222222"/>
        </w:rPr>
        <w:t>Ocena z poprawy zostaje wstawiona do dziennika z wagą przypisaną danej formie zaliczenia. </w:t>
      </w:r>
    </w:p>
    <w:p w:rsidR="002913AD" w:rsidRPr="00F77B14" w:rsidRDefault="004541B7" w:rsidP="00F77B1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Uczeń nieobecny na teście/ pracy klasowej/kartkówce ( z powodu dłuższej nieobecności  spowodowanej chorobą-powyżej 2 dni) ma obowiązek jego zaliczenia w terminie 2 tygodni  od daty oddania sprawdzianu lub przybycia do szkoły po usprawiedliwionej nieobecności pisać  zaległą pracę. Sam zgłasza się do prowadzącego zajęcia i wspólnie uzgadniają termin i formę  zaliczenia. Jeżeli w wyznaczonym terminie nie przystąpi do napisania sprawdzianu to otrzymuje  ocenę niedostateczną. </w:t>
      </w:r>
    </w:p>
    <w:p w:rsidR="002913AD" w:rsidRPr="00F77B14" w:rsidRDefault="004541B7" w:rsidP="00F77B1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Uczeń może zgłosić nieprzygotowanie do lekcji raz w półroczu. Informacja   nieprzygotowaniu musi być podana na początku lekcji i nie dotyczy zapowiedzianych sprawdzianów,  projektów z danego przedmiotu. </w:t>
      </w:r>
    </w:p>
    <w:p w:rsidR="002913AD" w:rsidRPr="00F77B14" w:rsidRDefault="004541B7" w:rsidP="00F77B1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Zgłoszenie braku przygotowania do zajęć nie zwalnia z pisania zapowiedzianego sprawdzianu  czy kartkówki oraz aktywnego uczestnictwa w bieżącej lekcji. </w:t>
      </w:r>
    </w:p>
    <w:p w:rsidR="002913AD" w:rsidRDefault="004541B7" w:rsidP="00F77B14">
      <w:pPr>
        <w:numPr>
          <w:ilvl w:val="0"/>
          <w:numId w:val="1"/>
        </w:numPr>
        <w:spacing w:after="54"/>
        <w:rPr>
          <w:rFonts w:asciiTheme="minorHAnsi" w:hAnsiTheme="minorHAnsi" w:cstheme="minorHAnsi"/>
        </w:rPr>
      </w:pPr>
      <w:r w:rsidRPr="00F77B14">
        <w:rPr>
          <w:rFonts w:asciiTheme="minorHAnsi" w:hAnsiTheme="minorHAnsi" w:cstheme="minorHAnsi"/>
        </w:rPr>
        <w:t xml:space="preserve">Ocena ustalana jest na podstawie wszystkich ocen cząstkowych w półroczu. </w:t>
      </w:r>
    </w:p>
    <w:p w:rsidR="00A64E13" w:rsidRPr="00A64E13" w:rsidRDefault="00A64E13" w:rsidP="00F77B14">
      <w:pPr>
        <w:numPr>
          <w:ilvl w:val="0"/>
          <w:numId w:val="1"/>
        </w:numPr>
        <w:spacing w:after="54"/>
        <w:rPr>
          <w:rFonts w:asciiTheme="minorHAnsi" w:hAnsiTheme="minorHAnsi" w:cstheme="minorHAnsi"/>
        </w:rPr>
      </w:pPr>
      <w:r w:rsidRPr="00A64E13">
        <w:rPr>
          <w:rFonts w:asciiTheme="minorHAnsi" w:hAnsiTheme="minorHAnsi" w:cstheme="minorHAnsi"/>
        </w:rPr>
        <w:t>Średnia ważona ma jedynie charakter pomocniczy, ponieważ końcowa ocena z przedmiotu jest ustalana indywidualnie dla każdego ucznia, z uwzględnieniem wielu aspektów jego pracy, a nie wyłącznie na podstawie wyliczeń matematycznych</w:t>
      </w:r>
    </w:p>
    <w:p w:rsidR="002913AD" w:rsidRDefault="002913AD">
      <w:pPr>
        <w:ind w:left="10" w:right="522" w:firstLine="284"/>
      </w:pPr>
    </w:p>
    <w:p w:rsidR="002913AD" w:rsidRDefault="002913AD">
      <w:pPr>
        <w:pStyle w:val="Nagwek1"/>
        <w:ind w:left="-5" w:right="3396" w:firstLine="0"/>
      </w:pPr>
      <w:bookmarkStart w:id="0" w:name="_GoBack"/>
      <w:bookmarkEnd w:id="0"/>
    </w:p>
    <w:p w:rsidR="002913AD" w:rsidRDefault="002913AD">
      <w:pPr>
        <w:spacing w:after="0" w:line="259" w:lineRule="auto"/>
        <w:ind w:left="0" w:firstLine="0"/>
      </w:pPr>
    </w:p>
    <w:p w:rsidR="004F0AF4" w:rsidRDefault="004541B7" w:rsidP="00F77B14">
      <w:pPr>
        <w:spacing w:after="0" w:line="259" w:lineRule="auto"/>
        <w:ind w:left="0" w:firstLine="0"/>
        <w:jc w:val="right"/>
        <w:sectPr w:rsidR="004F0AF4">
          <w:pgSz w:w="11908" w:h="16840"/>
          <w:pgMar w:top="700" w:right="510" w:bottom="696" w:left="1133" w:header="708" w:footer="708" w:gutter="0"/>
          <w:pgNumType w:start="1"/>
          <w:cols w:space="708"/>
        </w:sectPr>
      </w:pPr>
      <w:r>
        <w:t xml:space="preserve">  </w:t>
      </w:r>
      <w:r w:rsidR="00F77B14">
        <w:t>Opracowała: K. Biernacka</w:t>
      </w:r>
    </w:p>
    <w:p w:rsidR="002913AD" w:rsidRDefault="002913AD">
      <w:pPr>
        <w:spacing w:after="0" w:line="259" w:lineRule="auto"/>
        <w:ind w:left="0" w:firstLine="0"/>
      </w:pPr>
    </w:p>
    <w:p w:rsidR="002913AD" w:rsidRDefault="004541B7">
      <w:pPr>
        <w:pStyle w:val="Nagwek1"/>
        <w:ind w:left="-5" w:right="3396" w:firstLine="0"/>
      </w:pPr>
      <w:bookmarkStart w:id="1" w:name="_heading=h.h3azaraf9xkq" w:colFirst="0" w:colLast="0"/>
      <w:bookmarkEnd w:id="1"/>
      <w:r>
        <w:t xml:space="preserve">Kryteria na poszczególne oceny  </w:t>
      </w:r>
    </w:p>
    <w:p w:rsidR="002913AD" w:rsidRDefault="004541B7">
      <w:pPr>
        <w:spacing w:after="0" w:line="259" w:lineRule="auto"/>
        <w:ind w:left="0" w:firstLine="0"/>
      </w:pPr>
      <w:r>
        <w:t xml:space="preserve"> </w:t>
      </w:r>
    </w:p>
    <w:p w:rsidR="002913AD" w:rsidRDefault="002913AD">
      <w:pPr>
        <w:spacing w:after="0" w:line="259" w:lineRule="auto"/>
        <w:ind w:left="0" w:firstLine="0"/>
      </w:pPr>
    </w:p>
    <w:p w:rsidR="004F0AF4" w:rsidRDefault="004541B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0"/>
        <w:gridCol w:w="2455"/>
        <w:gridCol w:w="1708"/>
        <w:gridCol w:w="2082"/>
        <w:gridCol w:w="2081"/>
        <w:gridCol w:w="2082"/>
        <w:gridCol w:w="2082"/>
      </w:tblGrid>
      <w:tr w:rsidR="004F0AF4" w:rsidRPr="004F0AF4" w:rsidTr="00922362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Ocena Kryterium </w:t>
            </w:r>
          </w:p>
        </w:tc>
        <w:tc>
          <w:tcPr>
            <w:tcW w:w="2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Poziom na ocenę celującą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Poziom na ocenę bardzo dobrą </w:t>
            </w:r>
          </w:p>
        </w:tc>
        <w:tc>
          <w:tcPr>
            <w:tcW w:w="2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Poziom na ocenę dobrą 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Poziom na ocenę dostateczną</w:t>
            </w:r>
          </w:p>
        </w:tc>
        <w:tc>
          <w:tcPr>
            <w:tcW w:w="2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Poziom na ocenę dopuszczającą</w:t>
            </w:r>
          </w:p>
        </w:tc>
        <w:tc>
          <w:tcPr>
            <w:tcW w:w="2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Poziom na ocenę niedostateczną</w:t>
            </w:r>
          </w:p>
        </w:tc>
      </w:tr>
      <w:tr w:rsidR="004F0AF4" w:rsidRPr="004F0AF4" w:rsidTr="00922362"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Zakres wiadomości i umiejętności</w:t>
            </w:r>
          </w:p>
        </w:tc>
        <w:tc>
          <w:tcPr>
            <w:tcW w:w="2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Pełen zakres wiadomości i umiejętności  określonych w wymaganiach edukacyjnych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Wyczerpujące opanowanie materiału, wiadomości powiązane w logiczny układ.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Opanowanie materiału programowego, wiadomości powiązane związkami logicznymi.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Zakres materiału programowego ograniczony do treści podstawowych, wiadomości te powiązane związkami logicznymi.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Nieznajomość niektórych partii podstawowego materiału programowego, posiadane wiadomości luźno zestawione.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Rażący brak wiadomości programowych, brak jedności logicznej między wiadomościami. </w:t>
            </w:r>
          </w:p>
        </w:tc>
      </w:tr>
      <w:tr w:rsidR="004F0AF4" w:rsidRPr="004F0AF4" w:rsidTr="00922362"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Rozumienie materiału naukowego</w:t>
            </w:r>
          </w:p>
        </w:tc>
        <w:tc>
          <w:tcPr>
            <w:tcW w:w="2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Zgodnie z wiedzą naukową rozumienie uogólnień i związków między nimi oraz logiczne wyjaśnianie zjawisk.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Właściwe rozumienie uogólnień i związków między nimi oraz wyjaśnianie zjawisk bez ingerencji nauczyciela.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Poprawne rozumienie uogólnień i związków między nimi oraz wyjaśnianie zjawisk inspirowane przez nauczyciela.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Dość poprawne rozumienie podstawowych uogólnień oraz wyjaśnianie ważniejszych zjawisk.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Poprawne rozumienia tylko niektórych podstawowych uogólnień i nieumiejętność wyjaśniania zjawisk bez pomocy nauczyciela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Zupełny brak rozumienia uogólnień oraz kompletna nieumiejętność wyjaśniania zjawisk. </w:t>
            </w:r>
          </w:p>
        </w:tc>
      </w:tr>
      <w:tr w:rsidR="004F0AF4" w:rsidRPr="004F0AF4" w:rsidTr="00922362"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Umiejętność stosowania wiedzy </w:t>
            </w:r>
          </w:p>
        </w:tc>
        <w:tc>
          <w:tcPr>
            <w:tcW w:w="2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Samodzielnie i sprawnie posługuje się wiedzą dla celów praktycznych i teoretycznych.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Umiejętnie wykorzystuje posiadane wiadomości w teorii i praktyce.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Stosowanie posiadanych umiejętności w teorii i praktyce.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Stosowanie wiedzy do celów teoretycznych i praktycznych często przy pomocy nauczyciela.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Stosowanie wiedzy w praktyce w minimalnym zakresie i przy pomocy nauczyciela.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Zupełny brak umiejętności stosowania nawet minimalnych wiadomości w praktyce i teorii, nawet z wydatną pomocą nauczyciela. </w:t>
            </w:r>
          </w:p>
        </w:tc>
      </w:tr>
      <w:tr w:rsidR="004F0AF4" w:rsidRPr="004F0AF4" w:rsidTr="00922362">
        <w:tc>
          <w:tcPr>
            <w:tcW w:w="2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>Kultura przekazywania wiedzy</w:t>
            </w:r>
          </w:p>
        </w:tc>
        <w:tc>
          <w:tcPr>
            <w:tcW w:w="2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Poprawny język, styl i swoboda w posługiwaniu się terminologią naukową, wysoki stopień kondensacji wypowiedzi. 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Poprawny język, styl, poprawne posługiwanie się terminologią  naukową, kondensacja wypowiedzi zgodnie z wymaganiami przedmiotu.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Brak błędów językowych, usterki stylistyczne, podstawowe pojęcia i prawa ujmowane w terminach naukowych, język umiarkowanie skondensowany.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Niewielkie i nieliczne błędy językowe, wiadomości przekazywane w języku zbliżonym do potocznego, mała kondensacja wypowiedzi.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Liczne błędy językowe, nieporadny styl, trudności w posługiwaniu się terminologią przedmiotu.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F4" w:rsidRPr="004F0AF4" w:rsidRDefault="004F0AF4" w:rsidP="004F0AF4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4F0AF4">
              <w:rPr>
                <w:rFonts w:ascii="Times New Roman" w:eastAsia="SimSun" w:hAnsi="Times New Roman" w:cs="Arial"/>
                <w:color w:val="auto"/>
                <w:kern w:val="1"/>
                <w:sz w:val="20"/>
                <w:szCs w:val="20"/>
                <w:lang w:eastAsia="hi-IN" w:bidi="hi-IN"/>
              </w:rPr>
              <w:t xml:space="preserve">Bardzo liczne błędy językowe, rażąco nieporadny styl wypowiedzi, duże trudności w mówieniu językiem danego przedmiotu. </w:t>
            </w:r>
          </w:p>
        </w:tc>
      </w:tr>
    </w:tbl>
    <w:p w:rsidR="002913AD" w:rsidRDefault="002913AD">
      <w:pPr>
        <w:spacing w:after="0" w:line="259" w:lineRule="auto"/>
        <w:ind w:left="-159" w:firstLine="0"/>
        <w:jc w:val="both"/>
      </w:pPr>
    </w:p>
    <w:sectPr w:rsidR="002913AD" w:rsidSect="004F0AF4">
      <w:pgSz w:w="16840" w:h="11908" w:orient="landscape" w:code="9"/>
      <w:pgMar w:top="1134" w:right="697" w:bottom="510" w:left="6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B6"/>
    <w:multiLevelType w:val="multilevel"/>
    <w:tmpl w:val="10EA4180"/>
    <w:lvl w:ilvl="0">
      <w:start w:val="1"/>
      <w:numFmt w:val="bullet"/>
      <w:lvlText w:val="•"/>
      <w:lvlJc w:val="left"/>
      <w:pPr>
        <w:ind w:left="428" w:hanging="4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64" w:hanging="136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84" w:hanging="208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04" w:hanging="28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24" w:hanging="352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44" w:hanging="424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64" w:hanging="496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84" w:hanging="568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4" w:hanging="640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73F0C94"/>
    <w:multiLevelType w:val="multilevel"/>
    <w:tmpl w:val="9A60CC9C"/>
    <w:lvl w:ilvl="0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E9735ED"/>
    <w:multiLevelType w:val="multilevel"/>
    <w:tmpl w:val="2B746EF6"/>
    <w:lvl w:ilvl="0">
      <w:start w:val="1"/>
      <w:numFmt w:val="bullet"/>
      <w:lvlText w:val="•"/>
      <w:lvlJc w:val="left"/>
      <w:pPr>
        <w:ind w:left="773" w:hanging="77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5" w:hanging="141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5" w:hanging="213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55" w:hanging="285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5" w:hanging="357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5" w:hanging="429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15" w:hanging="501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5" w:hanging="573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5" w:hanging="645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9C261D9"/>
    <w:multiLevelType w:val="hybridMultilevel"/>
    <w:tmpl w:val="161A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AD"/>
    <w:rsid w:val="00255DE6"/>
    <w:rsid w:val="002913AD"/>
    <w:rsid w:val="004541B7"/>
    <w:rsid w:val="004F0AF4"/>
    <w:rsid w:val="0064049D"/>
    <w:rsid w:val="00735593"/>
    <w:rsid w:val="00A64E13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A3B4"/>
  <w15:docId w15:val="{6FF81CAC-8B81-433B-9007-26D0347E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3" w:line="250" w:lineRule="auto"/>
        <w:ind w:left="294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10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87F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4" w:type="dxa"/>
      </w:tblCellMar>
    </w:tblPr>
  </w:style>
  <w:style w:type="paragraph" w:customStyle="1" w:styleId="Standard">
    <w:name w:val="Standard"/>
    <w:rsid w:val="00F77B14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F77B14"/>
    <w:pPr>
      <w:suppressLineNumbers/>
    </w:pPr>
  </w:style>
  <w:style w:type="paragraph" w:styleId="Akapitzlist">
    <w:name w:val="List Paragraph"/>
    <w:basedOn w:val="Normalny"/>
    <w:uiPriority w:val="34"/>
    <w:qFormat/>
    <w:rsid w:val="00F7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b3g7gb0WLSmT/vf6VqhmrCRyjQ==">CgMxLjAyCGguZ2pkZ3hzMg5oLmgzYXphcmFmOXhrcTgAciExeHBJa2tVVm9paTQzQTBKcTgtc2xqMmxqNGs5VF9uQ3c=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Hipcio</dc:creator>
  <cp:lastModifiedBy>KASIA</cp:lastModifiedBy>
  <cp:revision>2</cp:revision>
  <dcterms:created xsi:type="dcterms:W3CDTF">2025-12-01T21:25:00Z</dcterms:created>
  <dcterms:modified xsi:type="dcterms:W3CDTF">2025-12-01T21:25:00Z</dcterms:modified>
</cp:coreProperties>
</file>